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BD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Arial Unicode MS" w:hAnsi="Times New Roman"/>
          <w:lang w:eastAsia="en-GB"/>
        </w:rPr>
      </w:pPr>
      <w:bookmarkStart w:id="0" w:name="_Toc468217674"/>
      <w:bookmarkStart w:id="1" w:name="_Toc468892640"/>
      <w:bookmarkStart w:id="2" w:name="_Toc473692377"/>
      <w:bookmarkStart w:id="3" w:name="_Toc476857558"/>
      <w:bookmarkStart w:id="4" w:name="_Toc350977292"/>
      <w:bookmarkStart w:id="5" w:name="_Toc481181863"/>
      <w:bookmarkStart w:id="6" w:name="_Toc477970523"/>
      <w:r>
        <w:rPr>
          <w:rFonts w:ascii="Times New Roman" w:eastAsia="Times New Roman" w:hAnsi="Times New Roman"/>
          <w:b/>
        </w:rPr>
        <w:t>ПРИЛОЖЕНИЕ 1</w:t>
      </w:r>
      <w:r w:rsidR="007C3CBD">
        <w:rPr>
          <w:rFonts w:ascii="Times New Roman" w:eastAsia="Times New Roman" w:hAnsi="Times New Roman"/>
          <w:b/>
        </w:rPr>
        <w:t>4</w:t>
      </w:r>
      <w:r>
        <w:rPr>
          <w:rFonts w:ascii="Times New Roman" w:eastAsia="Times New Roman" w:hAnsi="Times New Roman"/>
        </w:rPr>
        <w:br/>
      </w:r>
      <w:r w:rsidRPr="00A11D8B">
        <w:rPr>
          <w:rFonts w:ascii="Times New Roman" w:eastAsia="Times New Roman" w:hAnsi="Times New Roman"/>
        </w:rPr>
        <w:t xml:space="preserve">к концессионному соглашению в отношении </w:t>
      </w:r>
      <w:r w:rsidR="00C528D1">
        <w:rPr>
          <w:rFonts w:ascii="Times New Roman" w:eastAsia="Arial Unicode MS" w:hAnsi="Times New Roman"/>
          <w:lang w:eastAsia="en-GB"/>
        </w:rPr>
        <w:t xml:space="preserve">объектов </w:t>
      </w:r>
      <w:r w:rsidR="005A25DF" w:rsidRPr="005A25DF">
        <w:rPr>
          <w:rFonts w:ascii="Times New Roman" w:eastAsia="Arial Unicode MS" w:hAnsi="Times New Roman"/>
          <w:lang w:eastAsia="en-GB"/>
        </w:rPr>
        <w:t>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  <w:bookmarkStart w:id="7" w:name="_GoBack"/>
      <w:bookmarkEnd w:id="7"/>
    </w:p>
    <w:p w:rsidR="00C528D1" w:rsidRDefault="00C528D1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№ ___ от _________ г.</w:t>
      </w:r>
    </w:p>
    <w:p w:rsidR="008C26DD" w:rsidRDefault="008C26DD" w:rsidP="008C26DD">
      <w:pPr>
        <w:pStyle w:val="a8"/>
        <w:spacing w:line="240" w:lineRule="auto"/>
      </w:pPr>
      <w:bookmarkStart w:id="8" w:name="_Toc485514176"/>
      <w:bookmarkStart w:id="9" w:name="_Toc484822153"/>
      <w:r>
        <w:t>Требования к Банковской гарантии</w:t>
      </w:r>
      <w:bookmarkEnd w:id="8"/>
      <w:bookmarkEnd w:id="9"/>
    </w:p>
    <w:tbl>
      <w:tblPr>
        <w:tblStyle w:val="21"/>
        <w:tblW w:w="0" w:type="auto"/>
        <w:tblLook w:val="04A0"/>
      </w:tblPr>
      <w:tblGrid>
        <w:gridCol w:w="704"/>
        <w:gridCol w:w="2743"/>
        <w:gridCol w:w="6584"/>
      </w:tblGrid>
      <w:tr w:rsidR="008C26DD" w:rsidRPr="007C0A38" w:rsidTr="00757534">
        <w:tc>
          <w:tcPr>
            <w:tcW w:w="704" w:type="dxa"/>
          </w:tcPr>
          <w:p w:rsidR="008C26DD" w:rsidRPr="006D32E1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43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4C20A7">
              <w:rPr>
                <w:rFonts w:ascii="Times New Roman" w:hAnsi="Times New Roman"/>
                <w:sz w:val="24"/>
              </w:rPr>
              <w:t>Вид</w:t>
            </w:r>
            <w:proofErr w:type="spellEnd"/>
            <w:r w:rsidR="007575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Банковской</w:t>
            </w:r>
            <w:proofErr w:type="spellEnd"/>
            <w:r w:rsidR="007575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гарантии</w:t>
            </w:r>
            <w:proofErr w:type="spellEnd"/>
          </w:p>
        </w:tc>
        <w:tc>
          <w:tcPr>
            <w:tcW w:w="6584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Безотзывная и непередаваемая Банковская гарантия</w:t>
            </w:r>
          </w:p>
        </w:tc>
      </w:tr>
      <w:tr w:rsidR="008C26DD" w:rsidRPr="007C0A38" w:rsidTr="00757534">
        <w:tc>
          <w:tcPr>
            <w:tcW w:w="704" w:type="dxa"/>
          </w:tcPr>
          <w:p w:rsidR="008C26DD" w:rsidRPr="00F85504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43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4C20A7">
              <w:rPr>
                <w:rFonts w:ascii="Times New Roman" w:hAnsi="Times New Roman"/>
                <w:sz w:val="24"/>
              </w:rPr>
              <w:t>Требования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 к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гаранту</w:t>
            </w:r>
            <w:proofErr w:type="spellEnd"/>
          </w:p>
        </w:tc>
        <w:tc>
          <w:tcPr>
            <w:tcW w:w="6584" w:type="dxa"/>
          </w:tcPr>
          <w:p w:rsidR="008C26DD" w:rsidRPr="004C20A7" w:rsidRDefault="008C26DD" w:rsidP="00F01305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Банковская гарантия должна быть выдана одной из следующих организаций: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 w:line="259" w:lineRule="auto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международная финансовая организация, созданная в соответствии с международными договорами, участником которых является Российская Федерация;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 w:line="259" w:lineRule="auto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международная финансовая организация, с которой Российская Федерация заключила международный договор;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 w:line="259" w:lineRule="auto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государственная корпорация «Банк развития и внешнеэкономической деятельности (Внешэкономбанк)»;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 w:line="259" w:lineRule="auto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российская кредитная организация, соответствующая следующим требованиям: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6"/>
              </w:numPr>
              <w:spacing w:after="120" w:line="259" w:lineRule="auto"/>
              <w:ind w:left="458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наличие генеральной лицензии Центрального банка Российской Федерации на осуществление банковских операций или соответствующей лицензии, выданной уполномоченными органами иностранных государств;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6"/>
              </w:numPr>
              <w:spacing w:after="120" w:line="259" w:lineRule="auto"/>
              <w:ind w:left="458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период деятельности составляет не менее 3 лет с даты государственной регистрации (при слиянии банков указанный срок рассчитывается как в отношении организации, имеющей более раннюю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датугосударственнойрегистрации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4C20A7">
              <w:rPr>
                <w:rFonts w:ascii="Times New Roman" w:hAnsi="Times New Roman"/>
                <w:sz w:val="24"/>
              </w:rPr>
              <w:t>припреобразованииуказанныйсрокнепрерывается</w:t>
            </w:r>
            <w:proofErr w:type="spellEnd"/>
            <w:r w:rsidRPr="004C20A7">
              <w:rPr>
                <w:rFonts w:ascii="Times New Roman" w:hAnsi="Times New Roman"/>
                <w:sz w:val="24"/>
              </w:rPr>
              <w:t>);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6"/>
              </w:numPr>
              <w:spacing w:after="120" w:line="259" w:lineRule="auto"/>
              <w:ind w:left="458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наличие у банка безусловно положительного аудиторского заключения за прошедший год, в котором подтверждаются достоверность во всех существенных отношениях финансовой (бухгалтерской) отчетности и соответствие порядка ведения бухгалтерского учета законодательству Российской Федерации.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6"/>
              </w:numPr>
              <w:spacing w:after="120" w:line="259" w:lineRule="auto"/>
              <w:ind w:left="458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размер собственных средств (капитала) составляет не менее чем 20 млрд. рублей.</w:t>
            </w:r>
          </w:p>
        </w:tc>
      </w:tr>
      <w:tr w:rsidR="008C26DD" w:rsidRPr="007C0A38" w:rsidTr="00757534">
        <w:tc>
          <w:tcPr>
            <w:tcW w:w="704" w:type="dxa"/>
          </w:tcPr>
          <w:p w:rsidR="008C26DD" w:rsidRPr="004C20A7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43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Срок, на который выдается Банковская гарантия</w:t>
            </w:r>
          </w:p>
        </w:tc>
        <w:tc>
          <w:tcPr>
            <w:tcW w:w="6584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Банковская гарантия выдается сроком на 1 (один) год. Банковская гарантия подлежит ежегодной замене или продлению в течение срока действия Концессионного соглашения с учётом корректировки суммы Банковской 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гарантии в зависимости от суммы обязательств Концессионера по его расходам на </w:t>
            </w:r>
            <w:r w:rsidR="001D4A10">
              <w:rPr>
                <w:rFonts w:ascii="Times New Roman" w:hAnsi="Times New Roman"/>
                <w:sz w:val="24"/>
                <w:lang w:val="ru-RU"/>
              </w:rPr>
              <w:t xml:space="preserve">реконструкцию (модернизацию) </w:t>
            </w:r>
            <w:r>
              <w:rPr>
                <w:rFonts w:ascii="Times New Roman" w:hAnsi="Times New Roman"/>
                <w:sz w:val="24"/>
                <w:lang w:val="ru-RU" w:eastAsia="ru-RU"/>
              </w:rPr>
              <w:t>о</w:t>
            </w:r>
            <w:r w:rsidRPr="00196ADE">
              <w:rPr>
                <w:rFonts w:ascii="Times New Roman" w:hAnsi="Times New Roman"/>
                <w:sz w:val="24"/>
                <w:lang w:val="ru-RU" w:eastAsia="ru-RU"/>
              </w:rPr>
              <w:t>бъекта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соглашения, установленным на соответствующий период действия Банковской гарантии.</w:t>
            </w:r>
          </w:p>
        </w:tc>
      </w:tr>
      <w:tr w:rsidR="008C26DD" w:rsidRPr="007C0A38" w:rsidTr="00757534">
        <w:tc>
          <w:tcPr>
            <w:tcW w:w="704" w:type="dxa"/>
          </w:tcPr>
          <w:p w:rsidR="008C26DD" w:rsidRPr="00F85504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43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Срок исполнения гарантом требования </w:t>
            </w:r>
            <w:proofErr w:type="spellStart"/>
            <w:r w:rsidRPr="004C20A7">
              <w:rPr>
                <w:rFonts w:ascii="Times New Roman" w:hAnsi="Times New Roman"/>
                <w:sz w:val="24"/>
                <w:lang w:val="ru-RU"/>
              </w:rPr>
              <w:t>концедента</w:t>
            </w:r>
            <w:proofErr w:type="spellEnd"/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об уплате денежной суммы по Банковской гарантии</w:t>
            </w:r>
          </w:p>
        </w:tc>
        <w:tc>
          <w:tcPr>
            <w:tcW w:w="6584" w:type="dxa"/>
          </w:tcPr>
          <w:p w:rsidR="008C26DD" w:rsidRPr="004C20A7" w:rsidRDefault="008C26DD" w:rsidP="00F01305">
            <w:pPr>
              <w:spacing w:after="240"/>
              <w:jc w:val="both"/>
              <w:rPr>
                <w:rStyle w:val="2"/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В течение 30 (Тридцати) календарных дней с момента получения гарантом от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Концедента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соответствующего требования 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об уплате денежной суммы по Банковской гарантии, </w:t>
            </w: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содержащее расчёт суммы требования, подписанное уполномоченным лицом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Концедента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, с указанием обстоятельства, наступление которого повлекло выплату по Банковской гарантии,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приложенных к требованию документов.</w:t>
            </w:r>
          </w:p>
          <w:p w:rsidR="008C26DD" w:rsidRPr="004C20A7" w:rsidRDefault="008C26DD" w:rsidP="00F01305">
            <w:pPr>
              <w:spacing w:after="240"/>
              <w:jc w:val="both"/>
              <w:rPr>
                <w:rStyle w:val="2"/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Гарант вправе отказать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Концеденту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в удовлетворении требования, если имеется одно из нижеследующих оснований: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требование и/или приложенные к нему документы не соответствуют условиям Банковской гарантии: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требование и/или приложенные к нему документы предоставлены гаранту по окончании срока действия Банковской гарантии: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какой-либо из предоставленных гаранту документов является недостоверным;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обстоятельство, на случай возникновения которого выдана Банковская гарантия, не возникло;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обязательство Концессионера, в обеспечение которого предоставлена Банковская гарантия, недействительно;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5"/>
              </w:numPr>
              <w:spacing w:after="120"/>
              <w:ind w:left="316" w:hanging="282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исполнение по основному обязательству Концессионера принято Бенефициаром без каких-либо возражений.</w:t>
            </w:r>
          </w:p>
        </w:tc>
      </w:tr>
      <w:tr w:rsidR="008C26DD" w:rsidRPr="007C0A38" w:rsidTr="00757534">
        <w:tc>
          <w:tcPr>
            <w:tcW w:w="704" w:type="dxa"/>
          </w:tcPr>
          <w:p w:rsidR="008C26DD" w:rsidRPr="00F85504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43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Перечень документов, которые </w:t>
            </w:r>
            <w:proofErr w:type="spellStart"/>
            <w:r w:rsidR="00C30129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C20A7">
              <w:rPr>
                <w:rFonts w:ascii="Times New Roman" w:hAnsi="Times New Roman"/>
                <w:sz w:val="24"/>
                <w:lang w:val="ru-RU"/>
              </w:rPr>
              <w:t>онцедент</w:t>
            </w:r>
            <w:proofErr w:type="spellEnd"/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направляет гаранту вместе с требованием об уплате денежной суммы по Банковской гарантии</w:t>
            </w:r>
          </w:p>
        </w:tc>
        <w:tc>
          <w:tcPr>
            <w:tcW w:w="6584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Вместе с требованием об уплате денежной суммы по Банковской гарантии </w:t>
            </w:r>
            <w:proofErr w:type="spellStart"/>
            <w:r w:rsidRPr="004C20A7">
              <w:rPr>
                <w:rFonts w:ascii="Times New Roman" w:hAnsi="Times New Roman"/>
                <w:sz w:val="24"/>
                <w:lang w:val="ru-RU"/>
              </w:rPr>
              <w:t>концедент</w:t>
            </w:r>
            <w:proofErr w:type="spellEnd"/>
            <w:r w:rsidRPr="004C20A7">
              <w:rPr>
                <w:rFonts w:ascii="Times New Roman" w:hAnsi="Times New Roman"/>
                <w:sz w:val="24"/>
                <w:lang w:val="ru-RU"/>
              </w:rPr>
              <w:t xml:space="preserve"> представляет гаранту: 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Концессионное соглашение, а также дополнительные соглашения к Концессионному соглашению (включая дополнительные соглашения, которые были заключены со дня выдачи Банковской гарантии по день предъявления требования гаранту), в соответствии с которым Концессионер должен был исполнить обязательство, которое не исполнено им полностью или в части, при условии, что срок исполнения такого обязательства на основании Концессионного соглашения наступил;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документы, подтверждающие исполнение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своих встречных обязательств, исполнение которых является основанием для исполнения обязательств Концессионера по Концессионному соглашению, не исполнены или исполнены не в полном объёме;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lastRenderedPageBreak/>
              <w:t xml:space="preserve">документ, подтверждающий предъявление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требования Концессионеру об исполнении обязательств по Концессионному соглашению;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документы, подтверждающие исполнение обязательств Концессионером по Концессионному соглашению (при условии исполнения обязательств полностью либо частично);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расчёт штрафных санкций/неустоек, подлежащих взысканию с Концессионера (если требование предъявляется, в том числе, и об их уплате);</w:t>
            </w: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ab/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оригинал Банковской гарантии, а в случае предъявления требования в размере частичного неисполнения обязательств по Банковской гарантии – копия Банковской гарантии;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7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доверенность или иной документ, подтверждающий полномочия лица, подписавшего требование, а также осуществившего удостоверение документов, предоставленных гаранту.</w:t>
            </w:r>
          </w:p>
        </w:tc>
      </w:tr>
      <w:tr w:rsidR="008C26DD" w:rsidRPr="007C0A38" w:rsidTr="00757534">
        <w:tc>
          <w:tcPr>
            <w:tcW w:w="704" w:type="dxa"/>
          </w:tcPr>
          <w:p w:rsidR="008C26DD" w:rsidRPr="00F85504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43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Порядок признания обязательств гаранта по Банковской гарантии надлежаще исполненными</w:t>
            </w:r>
          </w:p>
        </w:tc>
        <w:tc>
          <w:tcPr>
            <w:tcW w:w="6584" w:type="dxa"/>
          </w:tcPr>
          <w:p w:rsidR="008C26DD" w:rsidRPr="004C20A7" w:rsidRDefault="008C26DD" w:rsidP="00F01305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Обязательство гаранта перед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по Банковской гарантии прекращается: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уплатой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Концеденту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суммы гарантии;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окончанием срока гарантии, на который она выдана;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вследствие отказа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Концедента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от своих прав по гарантии;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Style w:val="2"/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по соглашению гаранта с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о прекращении этого обязательства;</w:t>
            </w:r>
          </w:p>
          <w:p w:rsidR="008C26DD" w:rsidRPr="004C20A7" w:rsidRDefault="008C26DD" w:rsidP="00F01305">
            <w:pPr>
              <w:ind w:left="403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При этом прекращение обязательства гаранта по всем указанным выше основаниям не зависит от того, возвращена ли ему Банковская гарантия.</w:t>
            </w:r>
          </w:p>
          <w:p w:rsidR="008C26DD" w:rsidRPr="004C20A7" w:rsidRDefault="008C26DD" w:rsidP="008C26DD">
            <w:pPr>
              <w:pStyle w:val="a1"/>
              <w:numPr>
                <w:ilvl w:val="0"/>
                <w:numId w:val="8"/>
              </w:numPr>
              <w:spacing w:after="160" w:line="259" w:lineRule="auto"/>
              <w:ind w:left="4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вследствие возврата </w:t>
            </w:r>
            <w:proofErr w:type="spellStart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Концедентом</w:t>
            </w:r>
            <w:proofErr w:type="spellEnd"/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 xml:space="preserve"> гарантии гаранту.</w:t>
            </w:r>
          </w:p>
        </w:tc>
      </w:tr>
      <w:tr w:rsidR="008C26DD" w:rsidRPr="007C0A38" w:rsidTr="00757534">
        <w:tc>
          <w:tcPr>
            <w:tcW w:w="704" w:type="dxa"/>
          </w:tcPr>
          <w:p w:rsidR="008C26DD" w:rsidRPr="004C20A7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43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Обязательства Концессионера, надлежащее исполнение которых обеспечивается Банковской гарантией</w:t>
            </w:r>
          </w:p>
        </w:tc>
        <w:tc>
          <w:tcPr>
            <w:tcW w:w="6584" w:type="dxa"/>
          </w:tcPr>
          <w:p w:rsidR="008C26DD" w:rsidRPr="004C20A7" w:rsidRDefault="008C26DD" w:rsidP="00F01305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Исполнение Концессионером обязательств по Концессионному соглашению.</w:t>
            </w:r>
          </w:p>
        </w:tc>
      </w:tr>
      <w:tr w:rsidR="008C26DD" w:rsidRPr="007C0A38" w:rsidTr="00757534">
        <w:tc>
          <w:tcPr>
            <w:tcW w:w="704" w:type="dxa"/>
          </w:tcPr>
          <w:p w:rsidR="008C26DD" w:rsidRPr="004C20A7" w:rsidRDefault="008C26DD" w:rsidP="008C26DD">
            <w:pPr>
              <w:widowControl w:val="0"/>
              <w:numPr>
                <w:ilvl w:val="0"/>
                <w:numId w:val="4"/>
              </w:numPr>
              <w:tabs>
                <w:tab w:val="left" w:pos="1430"/>
                <w:tab w:val="left" w:pos="5399"/>
              </w:tabs>
              <w:autoSpaceDE w:val="0"/>
              <w:autoSpaceDN w:val="0"/>
              <w:adjustRightInd w:val="0"/>
              <w:spacing w:after="240"/>
              <w:ind w:left="426" w:hanging="28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43" w:type="dxa"/>
          </w:tcPr>
          <w:p w:rsidR="008C26DD" w:rsidRPr="004C20A7" w:rsidRDefault="008C26DD" w:rsidP="00F01305">
            <w:pPr>
              <w:spacing w:after="24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Fonts w:ascii="Times New Roman" w:hAnsi="Times New Roman"/>
                <w:sz w:val="24"/>
                <w:lang w:val="ru-RU"/>
              </w:rPr>
              <w:t>Место рассмотрения споров по банковской гарантии</w:t>
            </w:r>
          </w:p>
        </w:tc>
        <w:tc>
          <w:tcPr>
            <w:tcW w:w="6584" w:type="dxa"/>
          </w:tcPr>
          <w:p w:rsidR="008C26DD" w:rsidRPr="004C20A7" w:rsidRDefault="008C26DD" w:rsidP="00F01305">
            <w:pPr>
              <w:jc w:val="both"/>
              <w:rPr>
                <w:rStyle w:val="2"/>
                <w:rFonts w:ascii="Times New Roman" w:hAnsi="Times New Roman"/>
                <w:sz w:val="24"/>
                <w:lang w:val="ru-RU"/>
              </w:rPr>
            </w:pPr>
            <w:r w:rsidRPr="004C20A7">
              <w:rPr>
                <w:rStyle w:val="2"/>
                <w:rFonts w:ascii="Times New Roman" w:hAnsi="Times New Roman"/>
                <w:sz w:val="24"/>
                <w:lang w:val="ru-RU"/>
              </w:rPr>
              <w:t>Все споры, связанные с Банковской гарантий, подлежат рассмотрению в суде в соответствии с подсудностью и подведомственностью, определенными Законодательством.</w:t>
            </w:r>
          </w:p>
        </w:tc>
      </w:tr>
    </w:tbl>
    <w:p w:rsidR="007C3CBD" w:rsidRPr="00A11D8B" w:rsidRDefault="007C3CBD" w:rsidP="007C3CBD">
      <w:pPr>
        <w:pStyle w:val="1"/>
        <w:numPr>
          <w:ilvl w:val="0"/>
          <w:numId w:val="0"/>
        </w:numPr>
        <w:ind w:left="709"/>
      </w:pPr>
      <w:bookmarkStart w:id="10" w:name="_Ref468704371"/>
      <w:bookmarkStart w:id="11" w:name="_Toc468892629"/>
      <w:bookmarkStart w:id="12" w:name="_Toc473692366"/>
      <w:bookmarkStart w:id="13" w:name="_Toc476857547"/>
      <w:bookmarkStart w:id="14" w:name="_Toc350977281"/>
      <w:bookmarkStart w:id="15" w:name="_Toc481181852"/>
      <w:bookmarkStart w:id="16" w:name="_Toc477970512"/>
      <w:bookmarkStart w:id="17" w:name="_Toc485514158"/>
      <w:bookmarkStart w:id="18" w:name="_Toc484822135"/>
      <w:bookmarkStart w:id="19" w:name="_Hlk535325650"/>
      <w:bookmarkEnd w:id="0"/>
      <w:bookmarkEnd w:id="1"/>
      <w:bookmarkEnd w:id="2"/>
      <w:bookmarkEnd w:id="3"/>
      <w:bookmarkEnd w:id="4"/>
      <w:bookmarkEnd w:id="5"/>
      <w:bookmarkEnd w:id="6"/>
      <w:r w:rsidRPr="00A11D8B">
        <w:t>АДРЕСА, РЕКВИЗИТЫ И ПОДПИСИ СТОРОН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9072" w:type="dxa"/>
        <w:tblInd w:w="675" w:type="dxa"/>
        <w:tblLook w:val="04A0"/>
      </w:tblPr>
      <w:tblGrid>
        <w:gridCol w:w="9072"/>
      </w:tblGrid>
      <w:tr w:rsidR="007C3CBD" w:rsidRPr="00A11D8B" w:rsidTr="00757534">
        <w:tc>
          <w:tcPr>
            <w:tcW w:w="9072" w:type="dxa"/>
          </w:tcPr>
          <w:p w:rsidR="007C3CBD" w:rsidRPr="002E37B2" w:rsidRDefault="007C3CBD" w:rsidP="00BB676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A11D8B">
              <w:rPr>
                <w:rFonts w:ascii="Times New Roman" w:hAnsi="Times New Roman"/>
                <w:b/>
              </w:rPr>
              <w:t>Концедент</w:t>
            </w:r>
            <w:proofErr w:type="spellEnd"/>
          </w:p>
        </w:tc>
      </w:tr>
      <w:tr w:rsidR="007C3CBD" w:rsidRPr="00A11D8B" w:rsidTr="00757534">
        <w:tc>
          <w:tcPr>
            <w:tcW w:w="9072" w:type="dxa"/>
          </w:tcPr>
          <w:p w:rsidR="007C3CBD" w:rsidRPr="00A11D8B" w:rsidRDefault="007C3CBD" w:rsidP="00BB676E">
            <w:pPr>
              <w:spacing w:after="200"/>
              <w:ind w:left="34"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tr w:rsidR="007C3CBD" w:rsidRPr="00A11D8B" w:rsidTr="00757534">
        <w:tc>
          <w:tcPr>
            <w:tcW w:w="9072" w:type="dxa"/>
          </w:tcPr>
          <w:p w:rsidR="007C3CBD" w:rsidRPr="002E37B2" w:rsidRDefault="007C3CBD" w:rsidP="00BB676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</w:rPr>
            </w:pPr>
            <w:r w:rsidRPr="00A11D8B">
              <w:rPr>
                <w:rFonts w:ascii="Times New Roman" w:hAnsi="Times New Roman"/>
                <w:b/>
              </w:rPr>
              <w:t>Концессионер</w:t>
            </w:r>
          </w:p>
        </w:tc>
      </w:tr>
    </w:tbl>
    <w:bookmarkEnd w:id="19"/>
    <w:p w:rsidR="00CA0DBA" w:rsidRDefault="00757534" w:rsidP="00757534">
      <w:pPr>
        <w:ind w:firstLine="709"/>
      </w:pPr>
      <w:r w:rsidRPr="00DF0A6C">
        <w:rPr>
          <w:rFonts w:ascii="Times New Roman" w:hAnsi="Times New Roman"/>
        </w:rPr>
        <w:t>[●]</w:t>
      </w:r>
    </w:p>
    <w:sectPr w:rsidR="00CA0DBA" w:rsidSect="00757534">
      <w:pgSz w:w="11900" w:h="16840"/>
      <w:pgMar w:top="1134" w:right="56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0ACB"/>
    <w:multiLevelType w:val="hybridMultilevel"/>
    <w:tmpl w:val="A3661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93E49"/>
    <w:multiLevelType w:val="hybridMultilevel"/>
    <w:tmpl w:val="614044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6044E"/>
    <w:multiLevelType w:val="hybridMultilevel"/>
    <w:tmpl w:val="928ECA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46CF2"/>
    <w:multiLevelType w:val="hybridMultilevel"/>
    <w:tmpl w:val="B504D754"/>
    <w:lvl w:ilvl="0" w:tplc="5B426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B26D1"/>
    <w:multiLevelType w:val="hybridMultilevel"/>
    <w:tmpl w:val="ACBAD996"/>
    <w:lvl w:ilvl="0" w:tplc="C714BEC8">
      <w:numFmt w:val="bullet"/>
      <w:lvlText w:val="-"/>
      <w:lvlJc w:val="left"/>
      <w:pPr>
        <w:ind w:left="1026" w:hanging="6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5444845"/>
    <w:multiLevelType w:val="hybridMultilevel"/>
    <w:tmpl w:val="654A5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7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000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a"/>
      <w:lvlText w:val="(%3)"/>
      <w:lvlJc w:val="left"/>
      <w:pPr>
        <w:ind w:left="1781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8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C31E01"/>
    <w:rsid w:val="000152A6"/>
    <w:rsid w:val="00082C1E"/>
    <w:rsid w:val="000C3F67"/>
    <w:rsid w:val="000D25E5"/>
    <w:rsid w:val="00140AB4"/>
    <w:rsid w:val="001542D5"/>
    <w:rsid w:val="00160FBE"/>
    <w:rsid w:val="00181E79"/>
    <w:rsid w:val="001A7E90"/>
    <w:rsid w:val="001D4A10"/>
    <w:rsid w:val="001E1796"/>
    <w:rsid w:val="00217B42"/>
    <w:rsid w:val="00263CD1"/>
    <w:rsid w:val="0027296D"/>
    <w:rsid w:val="00291983"/>
    <w:rsid w:val="002B156C"/>
    <w:rsid w:val="002B718B"/>
    <w:rsid w:val="002C3199"/>
    <w:rsid w:val="002E795E"/>
    <w:rsid w:val="00310698"/>
    <w:rsid w:val="00320C8D"/>
    <w:rsid w:val="00347CF7"/>
    <w:rsid w:val="003515BA"/>
    <w:rsid w:val="00374AC7"/>
    <w:rsid w:val="003D3044"/>
    <w:rsid w:val="003E6A96"/>
    <w:rsid w:val="00432DEA"/>
    <w:rsid w:val="00494656"/>
    <w:rsid w:val="004B0736"/>
    <w:rsid w:val="004B26A9"/>
    <w:rsid w:val="004F3023"/>
    <w:rsid w:val="00527730"/>
    <w:rsid w:val="005A25DF"/>
    <w:rsid w:val="005D364B"/>
    <w:rsid w:val="005E3E9C"/>
    <w:rsid w:val="005F7CFA"/>
    <w:rsid w:val="00623908"/>
    <w:rsid w:val="00684C01"/>
    <w:rsid w:val="00691C51"/>
    <w:rsid w:val="006C3A58"/>
    <w:rsid w:val="006D3070"/>
    <w:rsid w:val="006D32E1"/>
    <w:rsid w:val="006F556F"/>
    <w:rsid w:val="0070168B"/>
    <w:rsid w:val="00703A12"/>
    <w:rsid w:val="007106FF"/>
    <w:rsid w:val="00727DB5"/>
    <w:rsid w:val="00737DEA"/>
    <w:rsid w:val="00756D07"/>
    <w:rsid w:val="00757534"/>
    <w:rsid w:val="00774770"/>
    <w:rsid w:val="007B0E7F"/>
    <w:rsid w:val="007C3CBD"/>
    <w:rsid w:val="007D6A54"/>
    <w:rsid w:val="008723C5"/>
    <w:rsid w:val="008B6445"/>
    <w:rsid w:val="008C26DD"/>
    <w:rsid w:val="008D1B5D"/>
    <w:rsid w:val="00927A17"/>
    <w:rsid w:val="00981F4D"/>
    <w:rsid w:val="009E6F60"/>
    <w:rsid w:val="00A708E9"/>
    <w:rsid w:val="00A73E96"/>
    <w:rsid w:val="00A86EB3"/>
    <w:rsid w:val="00A94583"/>
    <w:rsid w:val="00AB390F"/>
    <w:rsid w:val="00AE2079"/>
    <w:rsid w:val="00AF0B59"/>
    <w:rsid w:val="00B009D5"/>
    <w:rsid w:val="00B02DCE"/>
    <w:rsid w:val="00B1382C"/>
    <w:rsid w:val="00B2445C"/>
    <w:rsid w:val="00B73F98"/>
    <w:rsid w:val="00B86E34"/>
    <w:rsid w:val="00BF1527"/>
    <w:rsid w:val="00C03511"/>
    <w:rsid w:val="00C30129"/>
    <w:rsid w:val="00C31E01"/>
    <w:rsid w:val="00C453B5"/>
    <w:rsid w:val="00C528D1"/>
    <w:rsid w:val="00C5608B"/>
    <w:rsid w:val="00C74737"/>
    <w:rsid w:val="00C90611"/>
    <w:rsid w:val="00CA0DBA"/>
    <w:rsid w:val="00CA6F03"/>
    <w:rsid w:val="00CC1BB9"/>
    <w:rsid w:val="00CC697F"/>
    <w:rsid w:val="00CC7D7A"/>
    <w:rsid w:val="00D15AD2"/>
    <w:rsid w:val="00DB4447"/>
    <w:rsid w:val="00DF055E"/>
    <w:rsid w:val="00DF20B0"/>
    <w:rsid w:val="00E03C13"/>
    <w:rsid w:val="00EE54F2"/>
    <w:rsid w:val="00EF7CD6"/>
    <w:rsid w:val="00F74073"/>
    <w:rsid w:val="00FC6E87"/>
    <w:rsid w:val="00FF22E6"/>
    <w:rsid w:val="00FF3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7D7A"/>
  </w:style>
  <w:style w:type="paragraph" w:styleId="1">
    <w:name w:val="heading 1"/>
    <w:basedOn w:val="a1"/>
    <w:next w:val="a0"/>
    <w:link w:val="10"/>
    <w:uiPriority w:val="9"/>
    <w:qFormat/>
    <w:rsid w:val="007C3CBD"/>
    <w:pPr>
      <w:keepNext/>
      <w:numPr>
        <w:numId w:val="9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3">
    <w:name w:val="heading 3"/>
    <w:basedOn w:val="a"/>
    <w:next w:val="a0"/>
    <w:link w:val="30"/>
    <w:uiPriority w:val="9"/>
    <w:unhideWhenUsed/>
    <w:qFormat/>
    <w:rsid w:val="007C3CBD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a5"/>
    <w:uiPriority w:val="34"/>
    <w:qFormat/>
    <w:rsid w:val="00B009D5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Название приложения"/>
    <w:basedOn w:val="a0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5">
    <w:name w:val="Абзац списка Знак"/>
    <w:link w:val="a1"/>
    <w:uiPriority w:val="99"/>
    <w:locked/>
    <w:rsid w:val="00CA0DBA"/>
  </w:style>
  <w:style w:type="table" w:customStyle="1" w:styleId="21">
    <w:name w:val="Сетка таблицы21"/>
    <w:uiPriority w:val="99"/>
    <w:rsid w:val="008C26DD"/>
    <w:rPr>
      <w:rFonts w:ascii="Calibri" w:eastAsia="MS Mincho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2"/>
    <w:link w:val="20"/>
    <w:uiPriority w:val="99"/>
    <w:rsid w:val="008C26DD"/>
    <w:rPr>
      <w:rFonts w:ascii="Arial" w:hAnsi="Arial" w:cs="Arial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0"/>
    <w:link w:val="2"/>
    <w:uiPriority w:val="99"/>
    <w:rsid w:val="008C26DD"/>
    <w:pPr>
      <w:widowControl w:val="0"/>
      <w:shd w:val="clear" w:color="auto" w:fill="FFFFFF"/>
      <w:spacing w:before="420" w:line="202" w:lineRule="exact"/>
      <w:jc w:val="both"/>
    </w:pPr>
    <w:rPr>
      <w:rFonts w:ascii="Arial" w:hAnsi="Arial" w:cs="Arial"/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7C3CBD"/>
    <w:rPr>
      <w:rFonts w:ascii="Times New Roman" w:eastAsia="Calibri" w:hAnsi="Times New Roman" w:cs="Times New Roman"/>
      <w:b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7C3CBD"/>
    <w:rPr>
      <w:rFonts w:ascii="Times New Roman" w:eastAsia="Calibri" w:hAnsi="Times New Roman" w:cs="Times New Roman"/>
      <w:lang w:eastAsia="en-US"/>
    </w:rPr>
  </w:style>
  <w:style w:type="paragraph" w:customStyle="1" w:styleId="a">
    <w:name w:val="Третий уровень (a)"/>
    <w:basedOn w:val="11"/>
    <w:qFormat/>
    <w:rsid w:val="007C3CBD"/>
    <w:pPr>
      <w:numPr>
        <w:ilvl w:val="2"/>
      </w:numPr>
    </w:pPr>
  </w:style>
  <w:style w:type="paragraph" w:customStyle="1" w:styleId="11">
    <w:name w:val="Второй уровень (1.1.)"/>
    <w:basedOn w:val="1"/>
    <w:rsid w:val="007C3CBD"/>
    <w:pPr>
      <w:keepNext w:val="0"/>
      <w:numPr>
        <w:ilvl w:val="1"/>
      </w:numPr>
      <w:ind w:left="851" w:hanging="851"/>
    </w:pPr>
    <w:rPr>
      <w:b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kondr</cp:lastModifiedBy>
  <cp:revision>4</cp:revision>
  <cp:lastPrinted>2019-09-25T13:16:00Z</cp:lastPrinted>
  <dcterms:created xsi:type="dcterms:W3CDTF">2019-03-01T08:39:00Z</dcterms:created>
  <dcterms:modified xsi:type="dcterms:W3CDTF">2019-09-25T13:17:00Z</dcterms:modified>
</cp:coreProperties>
</file>